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02C99646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E568A7">
        <w:rPr>
          <w:b/>
          <w:bCs/>
        </w:rPr>
        <w:t>3</w:t>
      </w:r>
      <w:r w:rsidR="00E00E5B">
        <w:rPr>
          <w:b/>
          <w:bCs/>
        </w:rPr>
        <w:t>8</w:t>
      </w:r>
      <w:r w:rsidRPr="00170DB1">
        <w:rPr>
          <w:b/>
          <w:bCs/>
        </w:rPr>
        <w:t>/202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z dnia </w:t>
      </w:r>
      <w:r w:rsidR="00E00E5B">
        <w:rPr>
          <w:b/>
          <w:bCs/>
        </w:rPr>
        <w:t>20</w:t>
      </w:r>
      <w:r w:rsidR="000F0911">
        <w:rPr>
          <w:b/>
          <w:bCs/>
        </w:rPr>
        <w:t xml:space="preserve"> </w:t>
      </w:r>
      <w:r w:rsidR="00E00E5B">
        <w:rPr>
          <w:b/>
          <w:bCs/>
        </w:rPr>
        <w:t>października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r.</w:t>
      </w:r>
    </w:p>
    <w:p w14:paraId="626D2738" w14:textId="45A971E2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E00E5B">
        <w:t>wydzierżawienia</w:t>
      </w:r>
      <w:r>
        <w:t xml:space="preserve"> na czas oznaczony, opisaną poniżej część nieruchomości:</w:t>
      </w:r>
    </w:p>
    <w:p w14:paraId="40E0DAAD" w14:textId="44DF76F7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4C0003">
        <w:t>Ochota</w:t>
      </w:r>
      <w:r w:rsidR="000C4ABC">
        <w:t xml:space="preserve">, ul. </w:t>
      </w:r>
      <w:r w:rsidR="00E00E5B">
        <w:t>Bitwy Warszawskiej 1920 roku Nr 11</w:t>
      </w:r>
      <w:r w:rsidR="000C4ABC">
        <w:t xml:space="preserve"> </w:t>
      </w:r>
    </w:p>
    <w:p w14:paraId="2D22C600" w14:textId="63B9A3F1" w:rsidR="00170DB1" w:rsidRDefault="00170DB1" w:rsidP="00C12922">
      <w:pPr>
        <w:spacing w:after="12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0C4ABC">
        <w:t xml:space="preserve">działka nr </w:t>
      </w:r>
      <w:r w:rsidR="000A4059">
        <w:t>3/2</w:t>
      </w:r>
      <w:r w:rsidR="000C4ABC">
        <w:t xml:space="preserve"> z obrębu </w:t>
      </w:r>
      <w:r w:rsidR="004C0003">
        <w:t>2</w:t>
      </w:r>
      <w:r w:rsidR="000E3649">
        <w:t>-</w:t>
      </w:r>
      <w:r w:rsidR="004C0003">
        <w:t>03</w:t>
      </w:r>
      <w:r w:rsidR="000E3649">
        <w:t>-</w:t>
      </w:r>
      <w:r w:rsidR="000A4059">
        <w:t>07</w:t>
      </w:r>
      <w:r w:rsidR="000C4ABC">
        <w:t xml:space="preserve">, objęta KW Nr </w:t>
      </w:r>
      <w:r w:rsidR="004C0003" w:rsidRPr="004C0003">
        <w:t>WA1M/</w:t>
      </w:r>
      <w:r w:rsidR="000A4059" w:rsidRPr="000A4059">
        <w:t>00144144</w:t>
      </w:r>
      <w:r w:rsidR="004C0003" w:rsidRPr="004C0003">
        <w:t>/</w:t>
      </w:r>
      <w:r w:rsidR="000A4059">
        <w:t>6</w:t>
      </w:r>
    </w:p>
    <w:p w14:paraId="24E52296" w14:textId="35202613" w:rsidR="00170DB1" w:rsidRPr="000C4ABC" w:rsidRDefault="00170DB1" w:rsidP="00C12922">
      <w:pPr>
        <w:spacing w:after="120" w:line="300" w:lineRule="auto"/>
      </w:pPr>
      <w:r w:rsidRPr="00170DB1">
        <w:rPr>
          <w:b/>
          <w:bCs/>
        </w:rPr>
        <w:t>Powierzchnia do przekazania</w:t>
      </w:r>
      <w:r>
        <w:t xml:space="preserve">: </w:t>
      </w:r>
      <w:r w:rsidR="000A4059">
        <w:t xml:space="preserve">powierzchnia biurowa </w:t>
      </w:r>
      <w:r w:rsidR="000A4059" w:rsidRPr="000A4059">
        <w:t>340,05 m²</w:t>
      </w:r>
      <w:r w:rsidR="000A4059">
        <w:t xml:space="preserve"> to jest </w:t>
      </w:r>
      <w:r w:rsidR="000A4059" w:rsidRPr="000A4059">
        <w:t>II piętro budynku</w:t>
      </w:r>
      <w:r w:rsidR="00BF104A">
        <w:t xml:space="preserve"> usługowego</w:t>
      </w:r>
      <w:r w:rsidR="000A4059" w:rsidRPr="000A4059">
        <w:t xml:space="preserve"> wraz z tymczasowym placem postojowym o powierzchni</w:t>
      </w:r>
      <w:r w:rsidR="000A4059">
        <w:t xml:space="preserve"> </w:t>
      </w:r>
      <w:r w:rsidR="000A4059" w:rsidRPr="000A4059">
        <w:t>2 195,00 m²</w:t>
      </w:r>
      <w:r w:rsidR="004C383A">
        <w:t>,</w:t>
      </w:r>
      <w:r w:rsidR="000A4059">
        <w:t xml:space="preserve"> </w:t>
      </w:r>
      <w:r w:rsidR="00A16776">
        <w:t>na którym posadowiony jest tymczasowy obiekt budowlany o powierzchni 29,28 m</w:t>
      </w:r>
      <w:r w:rsidR="00A16776" w:rsidRPr="00A16776">
        <w:rPr>
          <w:vertAlign w:val="superscript"/>
        </w:rPr>
        <w:t>2</w:t>
      </w:r>
    </w:p>
    <w:p w14:paraId="3DEDC8C2" w14:textId="554B6131" w:rsidR="00170DB1" w:rsidRDefault="00170DB1" w:rsidP="00C12922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A97E1C">
        <w:t>c</w:t>
      </w:r>
      <w:r w:rsidR="00A97E1C" w:rsidRPr="00A97E1C">
        <w:t xml:space="preserve">zęść nieruchomości zabudowanej m.in. budynkiem usługowym, z którego </w:t>
      </w:r>
      <w:r w:rsidR="004C383A">
        <w:t>do zawarcia umowy dzierżawy</w:t>
      </w:r>
      <w:r w:rsidR="00A97E1C" w:rsidRPr="00A97E1C">
        <w:t xml:space="preserve"> przeznacza się pomieszczenia II piętra oraz </w:t>
      </w:r>
      <w:r w:rsidR="00A97E1C">
        <w:t>wygrodzon</w:t>
      </w:r>
      <w:r w:rsidR="004C383A">
        <w:t>ą</w:t>
      </w:r>
      <w:r w:rsidR="00A97E1C">
        <w:t xml:space="preserve"> </w:t>
      </w:r>
      <w:r w:rsidR="00A97E1C" w:rsidRPr="00A97E1C">
        <w:t>część tymczasowego placu postojowego</w:t>
      </w:r>
    </w:p>
    <w:p w14:paraId="2587D51A" w14:textId="0F1A3E50" w:rsidR="003615F7" w:rsidRDefault="00170DB1" w:rsidP="00C12922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A97E1C" w:rsidRPr="00A97E1C">
        <w:t>Uchwała Rady m.st. Warszawy NR XXXII/747/2012 z dnia 23 lutego 2012 r. w sprawie uchwalenia miejscowego planu zagospodarowania przestrzennego rejonu ulicy Opaczewskiej. Obszar oznaczony symbolem C1.1 MW/U - tereny zabudowy mieszkaniowej wielorodzinnej lub usług.</w:t>
      </w:r>
      <w:r w:rsidR="00070791">
        <w:t xml:space="preserve"> Budynek wykorzystywany na cele biurowe, teren zewnętrzny wykorzystywany jako tymczasowy plac postojowy</w:t>
      </w:r>
      <w:r w:rsidR="00DC47CB">
        <w:t xml:space="preserve"> wraz z zapleczem magazynowym </w:t>
      </w:r>
      <w:r w:rsidR="00530B70">
        <w:t>(obiekt o charakterze tymczasowym)</w:t>
      </w:r>
    </w:p>
    <w:p w14:paraId="4DE3757A" w14:textId="50EA22D2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3615F7">
        <w:t>dzierżawy</w:t>
      </w:r>
    </w:p>
    <w:p w14:paraId="3E81BB93" w14:textId="6EA99685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844590">
        <w:t>dzierżawy</w:t>
      </w:r>
      <w:r w:rsidR="005B479B">
        <w:t xml:space="preserve"> na czas oznaczony </w:t>
      </w:r>
      <w:r w:rsidR="00703E2B">
        <w:t>2</w:t>
      </w:r>
      <w:r w:rsidR="005B479B">
        <w:t xml:space="preserve"> </w:t>
      </w:r>
      <w:r w:rsidR="00844590">
        <w:t>lat</w:t>
      </w:r>
    </w:p>
    <w:p w14:paraId="6AD4BD09" w14:textId="1A2FC2DF" w:rsidR="00170DB1" w:rsidRDefault="00070791" w:rsidP="00C12922">
      <w:pPr>
        <w:spacing w:after="120" w:line="300" w:lineRule="auto"/>
      </w:pPr>
      <w:r>
        <w:rPr>
          <w:b/>
          <w:bCs/>
        </w:rPr>
        <w:t>Miesięczny czynsz</w:t>
      </w:r>
      <w:r w:rsidR="00170DB1" w:rsidRPr="00170DB1">
        <w:rPr>
          <w:b/>
          <w:bCs/>
        </w:rPr>
        <w:t xml:space="preserve"> dzierżawn</w:t>
      </w:r>
      <w:r>
        <w:rPr>
          <w:b/>
          <w:bCs/>
        </w:rPr>
        <w:t>y</w:t>
      </w:r>
      <w:r w:rsidR="00170DB1" w:rsidRPr="00170DB1">
        <w:rPr>
          <w:b/>
          <w:bCs/>
        </w:rPr>
        <w:t xml:space="preserve"> netto</w:t>
      </w:r>
      <w:r w:rsidR="00170DB1">
        <w:t xml:space="preserve">: </w:t>
      </w:r>
      <w:r>
        <w:t>36 810,00</w:t>
      </w:r>
      <w:r w:rsidR="00BE5B39" w:rsidRPr="00BE5B39">
        <w:t xml:space="preserve"> </w:t>
      </w:r>
      <w:r>
        <w:t>zł ; do czynszu doliczany będzie podatek VAT</w:t>
      </w:r>
    </w:p>
    <w:p w14:paraId="35CED1DE" w14:textId="2000FAA4" w:rsidR="00BF7F68" w:rsidRDefault="00BF7F68" w:rsidP="00C12922">
      <w:pPr>
        <w:spacing w:after="120" w:line="300" w:lineRule="auto"/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7DC8545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 xml:space="preserve">raz w roku kalendarzowym, w IV kwartale roku, z mocą obowiązującą od </w:t>
      </w:r>
      <w:r w:rsidR="004C383A">
        <w:br/>
      </w:r>
      <w:r w:rsidR="008A4980">
        <w:t>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12C82E34" w:rsidR="00BF7F68" w:rsidRDefault="00BF7F68" w:rsidP="004C383A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 xml:space="preserve">Przedmiot </w:t>
      </w:r>
      <w:r w:rsidR="00703E2B">
        <w:t>dzierżawy</w:t>
      </w:r>
      <w:r w:rsidR="00C71E83">
        <w:t xml:space="preserve"> znajduje się w posiadaniu </w:t>
      </w:r>
      <w:r w:rsidR="004C383A">
        <w:t xml:space="preserve">Kontrahenta, który złożył wniosek o zawarcie kolejnej umowy obejmującej wyżej opisane powierzchnie. </w:t>
      </w:r>
      <w:r w:rsidR="004C383A">
        <w:br/>
      </w:r>
      <w:r w:rsidR="004C383A">
        <w:t xml:space="preserve">Niezależnie od czynszu, </w:t>
      </w:r>
      <w:r w:rsidR="004C383A">
        <w:t>dzierżawca</w:t>
      </w:r>
      <w:r w:rsidR="004C383A">
        <w:t xml:space="preserve"> opłacał będzie m.in. koszty wynikające ze zużycia energii elektrycznej, cieplnej, wody i odprowadzania ścieków.</w:t>
      </w:r>
      <w:r w:rsidR="004C383A">
        <w:br/>
      </w:r>
      <w:r w:rsidR="004C383A">
        <w:t>Sprzątanie Przedmiotu najmu oraz części wspólnej w ramach kondygnacji</w:t>
      </w:r>
      <w:r w:rsidR="004C383A">
        <w:t xml:space="preserve">, a także </w:t>
      </w:r>
      <w:r w:rsidR="004C383A">
        <w:t>odbiór odpadów Najemca zapewnia we własnym zakresie.</w:t>
      </w:r>
      <w:r w:rsidR="00703E2B">
        <w:t xml:space="preserve"> </w:t>
      </w:r>
    </w:p>
    <w:p w14:paraId="5AB08930" w14:textId="47651F66" w:rsidR="00E8606A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F809C6">
        <w:rPr>
          <w:rFonts w:ascii="Calibri" w:eastAsia="Calibri" w:hAnsi="Calibri" w:cs="Calibri"/>
          <w:kern w:val="0"/>
          <w14:ligatures w14:val="none"/>
        </w:rPr>
        <w:t>10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809C6">
        <w:rPr>
          <w:rFonts w:ascii="Calibri" w:eastAsia="Calibri" w:hAnsi="Calibri" w:cs="Calibri"/>
          <w:kern w:val="0"/>
          <w14:ligatures w14:val="none"/>
        </w:rPr>
        <w:t>listopada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najmu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sekretariat@zmw.waw.pl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, w terminie do dnia </w:t>
      </w:r>
      <w:r w:rsidR="00F809C6">
        <w:rPr>
          <w:rFonts w:ascii="Calibri" w:eastAsia="Calibri" w:hAnsi="Calibri" w:cs="Calibri"/>
          <w:kern w:val="0"/>
          <w14:ligatures w14:val="none"/>
        </w:rPr>
        <w:t>10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809C6">
        <w:rPr>
          <w:rFonts w:ascii="Calibri" w:eastAsia="Calibri" w:hAnsi="Calibri" w:cs="Calibri"/>
          <w:kern w:val="0"/>
          <w14:ligatures w14:val="none"/>
        </w:rPr>
        <w:t>listopada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1352AD95" w:rsidR="009A1498" w:rsidRPr="0027472C" w:rsidRDefault="00AE3688" w:rsidP="004C383A">
      <w:pPr>
        <w:spacing w:after="0" w:line="24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</w:t>
      </w:r>
      <w:r w:rsidR="004C383A">
        <w:rPr>
          <w:rFonts w:ascii="Calibri" w:eastAsia="Calibri" w:hAnsi="Calibri" w:cs="Calibri"/>
          <w:b/>
          <w:bCs/>
          <w:kern w:val="0"/>
          <w14:ligatures w14:val="none"/>
        </w:rPr>
        <w:t xml:space="preserve">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2EB9479A" w14:textId="60CBBCEB" w:rsidR="009A1498" w:rsidRPr="0027472C" w:rsidRDefault="009A1498" w:rsidP="004C383A">
      <w:pPr>
        <w:spacing w:after="120" w:line="300" w:lineRule="auto"/>
        <w:ind w:right="-567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699D6CE7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</w:t>
      </w:r>
      <w:r w:rsidR="004C383A">
        <w:rPr>
          <w:rFonts w:ascii="Calibri" w:eastAsia="Calibri" w:hAnsi="Calibri" w:cs="Calibri"/>
          <w:b/>
          <w:bCs/>
          <w:kern w:val="0"/>
          <w14:ligatures w14:val="none"/>
        </w:rPr>
        <w:t xml:space="preserve">    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sectPr w:rsidR="00170DB1" w:rsidRPr="008A4980" w:rsidSect="004C383A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479A8"/>
    <w:rsid w:val="00070791"/>
    <w:rsid w:val="000A4059"/>
    <w:rsid w:val="000C4ABC"/>
    <w:rsid w:val="000C6255"/>
    <w:rsid w:val="000E3649"/>
    <w:rsid w:val="000F0911"/>
    <w:rsid w:val="00104C71"/>
    <w:rsid w:val="00131C74"/>
    <w:rsid w:val="001646B8"/>
    <w:rsid w:val="0016689F"/>
    <w:rsid w:val="00170DB1"/>
    <w:rsid w:val="0019721D"/>
    <w:rsid w:val="001A57BE"/>
    <w:rsid w:val="001B6E95"/>
    <w:rsid w:val="00267C11"/>
    <w:rsid w:val="0027472C"/>
    <w:rsid w:val="002B3DB0"/>
    <w:rsid w:val="00356DE1"/>
    <w:rsid w:val="003615F7"/>
    <w:rsid w:val="00391A77"/>
    <w:rsid w:val="003D03EC"/>
    <w:rsid w:val="0040794C"/>
    <w:rsid w:val="00476A4B"/>
    <w:rsid w:val="004C0003"/>
    <w:rsid w:val="004C383A"/>
    <w:rsid w:val="00530B70"/>
    <w:rsid w:val="005A08AA"/>
    <w:rsid w:val="005B479B"/>
    <w:rsid w:val="006035A3"/>
    <w:rsid w:val="00650654"/>
    <w:rsid w:val="006D03F3"/>
    <w:rsid w:val="006D2C9A"/>
    <w:rsid w:val="00703E2B"/>
    <w:rsid w:val="00705F70"/>
    <w:rsid w:val="0077245E"/>
    <w:rsid w:val="00776712"/>
    <w:rsid w:val="0079695B"/>
    <w:rsid w:val="007B1E37"/>
    <w:rsid w:val="007C4A3F"/>
    <w:rsid w:val="008262E2"/>
    <w:rsid w:val="00844590"/>
    <w:rsid w:val="00856BB7"/>
    <w:rsid w:val="008A4980"/>
    <w:rsid w:val="00900677"/>
    <w:rsid w:val="009645BC"/>
    <w:rsid w:val="00976BF7"/>
    <w:rsid w:val="009A1498"/>
    <w:rsid w:val="009A3BA7"/>
    <w:rsid w:val="009B7689"/>
    <w:rsid w:val="009C09E9"/>
    <w:rsid w:val="009C0C63"/>
    <w:rsid w:val="009D49D0"/>
    <w:rsid w:val="00A16776"/>
    <w:rsid w:val="00A36353"/>
    <w:rsid w:val="00A65941"/>
    <w:rsid w:val="00A97E1C"/>
    <w:rsid w:val="00AE3688"/>
    <w:rsid w:val="00B631D9"/>
    <w:rsid w:val="00B65331"/>
    <w:rsid w:val="00BC00B5"/>
    <w:rsid w:val="00BE5B39"/>
    <w:rsid w:val="00BE7EF8"/>
    <w:rsid w:val="00BF104A"/>
    <w:rsid w:val="00BF7F68"/>
    <w:rsid w:val="00C12922"/>
    <w:rsid w:val="00C44249"/>
    <w:rsid w:val="00C71E83"/>
    <w:rsid w:val="00C91DDD"/>
    <w:rsid w:val="00CB7AA2"/>
    <w:rsid w:val="00D349B8"/>
    <w:rsid w:val="00DC127D"/>
    <w:rsid w:val="00DC47CB"/>
    <w:rsid w:val="00E00E5B"/>
    <w:rsid w:val="00E568A7"/>
    <w:rsid w:val="00E8606A"/>
    <w:rsid w:val="00EA4B46"/>
    <w:rsid w:val="00F221C6"/>
    <w:rsid w:val="00F30960"/>
    <w:rsid w:val="00F809C6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nr 38.2024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16</cp:revision>
  <cp:lastPrinted>2024-07-10T08:13:00Z</cp:lastPrinted>
  <dcterms:created xsi:type="dcterms:W3CDTF">2025-09-16T06:41:00Z</dcterms:created>
  <dcterms:modified xsi:type="dcterms:W3CDTF">2025-10-17T12:48:00Z</dcterms:modified>
</cp:coreProperties>
</file>