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690" w14:textId="6AD7C66A" w:rsidR="00EE489D" w:rsidRPr="00854C51" w:rsidRDefault="00EE489D" w:rsidP="00854C51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</w:t>
      </w:r>
      <w:r w:rsidR="007A042F"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arządzenie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Nr 25 /2024</w:t>
      </w:r>
    </w:p>
    <w:p w14:paraId="6DA129F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5AD2BE0B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 dnia 19 sierpnia 2024 roku</w:t>
      </w:r>
    </w:p>
    <w:p w14:paraId="61D18E8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B79B37" w14:textId="5110A12F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w sprawie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: wszczęcia postępowania konkursowego na stanowisko urzędnicze: </w:t>
      </w:r>
      <w:r w:rsidR="0000112F" w:rsidRPr="0000112F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Główny specjalista ds.</w:t>
      </w:r>
      <w:r w:rsidR="0000112F">
        <w:rPr>
          <w:rFonts w:eastAsia="Times New Roman" w:cstheme="minorHAnsi"/>
          <w:i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 </w:t>
      </w:r>
      <w:r w:rsidR="0000112F" w:rsidRPr="0000112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podatkowych w </w:t>
      </w:r>
      <w:r w:rsidRPr="0000112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Dzia</w:t>
      </w:r>
      <w:r w:rsidR="0000112F" w:rsidRPr="0000112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le</w:t>
      </w:r>
      <w:r w:rsidRPr="0000112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Księgowo-Budżetow</w:t>
      </w:r>
      <w:r w:rsidR="0000112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ym</w:t>
      </w:r>
      <w:r w:rsidRPr="00854C51"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 w Zarządzie Mienia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7FDD4335" w14:textId="3E284F1F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Na podstawie art. 11 ustawy z dnia 21 listopada 2008 roku o pracownikach samorządowych  (Dz. U. z 2022 r. poz. 530 z późn. zm.)  w związku z §4 ust 1. Statutu Zarządu Mienia m.st. Warszawy zarządza się, co następuje: </w:t>
      </w:r>
    </w:p>
    <w:p w14:paraId="4B9C0C36" w14:textId="05CCC9B8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3C8D4CC8" w14:textId="49DD3DB8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00112F" w:rsidRPr="0000112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Główny specjalista ds. podatkowych</w:t>
      </w:r>
      <w:r w:rsidRPr="0000112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00112F" w:rsidRPr="0000112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w </w:t>
      </w:r>
      <w:r w:rsidRPr="0000112F">
        <w:rPr>
          <w:rFonts w:eastAsia="Times New Roman" w:cstheme="minorHAnsi"/>
          <w:b/>
          <w:bCs/>
          <w:kern w:val="0"/>
          <w:lang w:eastAsia="pl-PL"/>
          <w14:ligatures w14:val="none"/>
        </w:rPr>
        <w:t>Dzia</w:t>
      </w:r>
      <w:r w:rsidR="0000112F" w:rsidRPr="0000112F">
        <w:rPr>
          <w:rFonts w:eastAsia="Times New Roman" w:cstheme="minorHAnsi"/>
          <w:b/>
          <w:bCs/>
          <w:kern w:val="0"/>
          <w:lang w:eastAsia="pl-PL"/>
          <w14:ligatures w14:val="none"/>
        </w:rPr>
        <w:t>le</w:t>
      </w:r>
      <w:r w:rsidRPr="0000112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Księgowo-Budżetow</w:t>
      </w:r>
      <w:r w:rsidR="0000112F" w:rsidRPr="0000112F">
        <w:rPr>
          <w:rFonts w:eastAsia="Times New Roman" w:cstheme="minorHAnsi"/>
          <w:b/>
          <w:bCs/>
          <w:kern w:val="0"/>
          <w:lang w:eastAsia="pl-PL"/>
          <w14:ligatures w14:val="none"/>
        </w:rPr>
        <w:t>ym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1.000 etat.</w:t>
      </w:r>
    </w:p>
    <w:p w14:paraId="13C77458" w14:textId="77777777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65C705B8" w14:textId="77777777" w:rsidR="00EE489D" w:rsidRPr="00854C51" w:rsidRDefault="00EE489D" w:rsidP="00854C51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0F530BE6" w14:textId="4505A5C4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FC3C29" w14:textId="77777777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0A9CE749" w14:textId="04738C36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Dorota Świstek        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 xml:space="preserve"> 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</w:p>
    <w:p w14:paraId="40618EB2" w14:textId="5FD698C8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Ewa Burza              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79AC1ED3" w14:textId="46B02516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Marta Kłudkiewicz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5B276E86" w14:textId="6E8B91E2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Emilia Kleska-Szczukocka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12C7FDD9" w14:textId="0272AD6B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Grażyna Cichock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>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–Sekretarz Komisji</w:t>
      </w:r>
    </w:p>
    <w:p w14:paraId="59AFF958" w14:textId="38151A80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6DF3BCFF" w14:textId="1CA679AB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3AA68683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21831D71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06 września 2024 roku do godz.15:00 (decyduje data wpływu do ZMW). </w:t>
      </w:r>
    </w:p>
    <w:p w14:paraId="1E761BBD" w14:textId="5857628F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524DC876" w14:textId="2B6CE024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0D1046D0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44795B46" w14:textId="2AA44E25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7EAF71BB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2BAB02F4" w14:textId="77777777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6FDF1D7" w14:textId="7C569C42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§5</w:t>
      </w:r>
    </w:p>
    <w:p w14:paraId="6733B1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45289BC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41ECC3FC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33277835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C3B650B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DA01E07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62ACD3DF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5D04BCE2" w14:textId="0B2C6825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39B6B99B" w14:textId="41A3FED3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31FB46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0FC7AD44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7A4EBBC1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985C1D7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5B6A3024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13C5C985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25D0B12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5228399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6C35762B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5A03518C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4C5C4080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0A2343C6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05EBAB2C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3D1258DA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03E780EF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634A0D37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2AE9E042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694CFF51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lastRenderedPageBreak/>
        <w:t>zdolność do podejmowania decyzji oraz realizowania obowiązków bez stałego nadzoru przełożonego.</w:t>
      </w:r>
    </w:p>
    <w:p w14:paraId="49EBC13C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7460E97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44E9962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032563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6672ACAE" w14:textId="0B3E662C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304B5C85" w14:textId="3AB04A6A" w:rsidR="00EE489D" w:rsidRPr="00854C51" w:rsidRDefault="00EE489D" w:rsidP="00854C51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56292924" w14:textId="73E24EAB" w:rsidR="00EE489D" w:rsidRPr="00854C51" w:rsidRDefault="00EE489D" w:rsidP="00854C51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041C2738" w14:textId="77777777" w:rsidR="00EE489D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7407586A" w14:textId="256298E2" w:rsidR="007A042F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6C4632C9" w14:textId="528FE7D9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4698125" w14:textId="4EC35711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4042F61A" w14:textId="36EFFFBE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0E3F4517" w14:textId="3909FBCD" w:rsidR="00EE489D" w:rsidRPr="00854C51" w:rsidRDefault="00EE489D" w:rsidP="00854C51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 23 sierpnia 2024 roku. </w:t>
      </w:r>
    </w:p>
    <w:p w14:paraId="2C4A4D29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397EF483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56771E87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32DB1230" w14:textId="77777777" w:rsidR="00EE489D" w:rsidRPr="00854C51" w:rsidRDefault="00EE489D" w:rsidP="00854C51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  <w:sectPr w:rsidR="00EE489D" w:rsidRPr="00854C51" w:rsidSect="00EE489D">
          <w:pgSz w:w="11906" w:h="16838"/>
          <w:pgMar w:top="709" w:right="1417" w:bottom="709" w:left="1417" w:header="708" w:footer="708" w:gutter="0"/>
          <w:cols w:space="708"/>
        </w:sectPr>
      </w:pPr>
    </w:p>
    <w:p w14:paraId="72862353" w14:textId="14095EB1" w:rsidR="00824C3F" w:rsidRPr="00854C51" w:rsidRDefault="00824C3F" w:rsidP="00854C51">
      <w:pPr>
        <w:pStyle w:val="Nagwek2"/>
        <w:spacing w:after="24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Załącznik do Zarządzenia Nr 25/2024 z dnia 19.08.2024 r.</w:t>
      </w:r>
    </w:p>
    <w:p w14:paraId="48D88050" w14:textId="63814D7A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Zakres zadań wykonywanych na stanowisku:</w:t>
      </w:r>
    </w:p>
    <w:p w14:paraId="34BF51CF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854C51">
        <w:rPr>
          <w:rFonts w:cstheme="minorHAnsi"/>
        </w:rPr>
        <w:t xml:space="preserve">Sporządzanie cząstkowych deklaracji VAT-7 lub korekty deklaracji za dany okres rozliczeniowy, sporządzanie plików JPK, </w:t>
      </w:r>
    </w:p>
    <w:p w14:paraId="2AB23663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854C51">
        <w:rPr>
          <w:rFonts w:cstheme="minorHAnsi"/>
        </w:rPr>
        <w:t>prowadzenie ewidencji (cząstkowych rejestrów Jednostki) dla potrzeb podatku od towarów i usług,</w:t>
      </w:r>
    </w:p>
    <w:p w14:paraId="11DD32AF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854C51">
        <w:rPr>
          <w:rFonts w:cstheme="minorHAnsi"/>
        </w:rPr>
        <w:t>prowadzenie rejestrów Vat należny,</w:t>
      </w:r>
    </w:p>
    <w:p w14:paraId="6DEE1852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854C51">
        <w:rPr>
          <w:rFonts w:cstheme="minorHAnsi"/>
        </w:rPr>
        <w:t>prowadzenie rejestrów Vat naliczony,</w:t>
      </w:r>
    </w:p>
    <w:p w14:paraId="6227FD32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854C51">
        <w:rPr>
          <w:rFonts w:cstheme="minorHAnsi"/>
        </w:rPr>
        <w:t>wyliczanie współczynnika i WSS</w:t>
      </w:r>
    </w:p>
    <w:p w14:paraId="3329474C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854C51">
        <w:rPr>
          <w:rFonts w:cstheme="minorHAnsi"/>
        </w:rPr>
        <w:t>korekta środków trwałych 5,10 lat</w:t>
      </w:r>
    </w:p>
    <w:p w14:paraId="51A10A2C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udział w przygotowaniu sprawozdań miesięcznych, kwartalnych, rocznych w tym:</w:t>
      </w:r>
    </w:p>
    <w:p w14:paraId="2A10127A" w14:textId="77777777" w:rsidR="004A42BA" w:rsidRPr="00854C51" w:rsidRDefault="004A42BA" w:rsidP="00854C51">
      <w:pPr>
        <w:spacing w:line="300" w:lineRule="auto"/>
        <w:ind w:left="360"/>
        <w:jc w:val="both"/>
        <w:rPr>
          <w:rFonts w:cstheme="minorHAnsi"/>
        </w:rPr>
      </w:pPr>
      <w:r w:rsidRPr="00854C51">
        <w:rPr>
          <w:rFonts w:cstheme="minorHAnsi"/>
        </w:rPr>
        <w:tab/>
      </w:r>
      <w:r w:rsidRPr="00854C51">
        <w:rPr>
          <w:rFonts w:cstheme="minorHAnsi"/>
        </w:rPr>
        <w:tab/>
        <w:t>sprawozdań budżetowych( ,RZIS,RB28S,RBN,RBZ,RBZN)</w:t>
      </w:r>
    </w:p>
    <w:p w14:paraId="45A199A7" w14:textId="77777777" w:rsidR="004A42BA" w:rsidRPr="00854C51" w:rsidRDefault="004A42BA" w:rsidP="00854C51">
      <w:pPr>
        <w:spacing w:line="300" w:lineRule="auto"/>
        <w:ind w:left="360"/>
        <w:jc w:val="both"/>
        <w:rPr>
          <w:rFonts w:cstheme="minorHAnsi"/>
        </w:rPr>
      </w:pPr>
      <w:r w:rsidRPr="00854C51">
        <w:rPr>
          <w:rFonts w:cstheme="minorHAnsi"/>
        </w:rPr>
        <w:tab/>
      </w:r>
      <w:r w:rsidRPr="00854C51">
        <w:rPr>
          <w:rFonts w:cstheme="minorHAnsi"/>
        </w:rPr>
        <w:tab/>
        <w:t>sprawozdań finansowych (Bilans, RZIS, Zestawienie Zmian w Funduszu)</w:t>
      </w:r>
    </w:p>
    <w:p w14:paraId="63907282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bieżąca kontrola stopnia wykonania planu budżetowego,</w:t>
      </w:r>
    </w:p>
    <w:p w14:paraId="3785D313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kontrola formalno- rachunkowa dokumentów księgowych,</w:t>
      </w:r>
    </w:p>
    <w:p w14:paraId="23FF3E52" w14:textId="72C488D4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 xml:space="preserve">ewidencja dokumentów </w:t>
      </w:r>
      <w:r w:rsidR="00856724">
        <w:rPr>
          <w:rFonts w:cstheme="minorHAnsi"/>
        </w:rPr>
        <w:t xml:space="preserve">w </w:t>
      </w:r>
      <w:r w:rsidRPr="00854C51">
        <w:rPr>
          <w:rFonts w:cstheme="minorHAnsi"/>
        </w:rPr>
        <w:t>systemie finansowo-księgowym (listy płac, wyciągi bankowe, polecenia księgowania),</w:t>
      </w:r>
    </w:p>
    <w:p w14:paraId="12068F08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dekretowanie i księgowanie dokumentów księgowych zgodnie z obowiązującymi przepisami,</w:t>
      </w:r>
    </w:p>
    <w:p w14:paraId="20A9E513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bieżąca analiza sald i uzgodnienie kont księgowych,</w:t>
      </w:r>
    </w:p>
    <w:p w14:paraId="30C5C21A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obsługa bankowości elektronicznej,</w:t>
      </w:r>
    </w:p>
    <w:p w14:paraId="2DB41BC4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terminowe sporządzanie przelewów mechanizmem podzielonej płatności, na podstawie zatwierdzonych do wypłaty dokumentów księgowych,</w:t>
      </w:r>
    </w:p>
    <w:p w14:paraId="7199EA25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analizowanie sald rozrachunków z dostawcami, wyjaśnianie nieścisłości, wnioskowanie o zwrot nadpłat</w:t>
      </w:r>
    </w:p>
    <w:p w14:paraId="38B87345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ind w:right="-144"/>
        <w:rPr>
          <w:rFonts w:eastAsia="Calibri" w:cstheme="minorHAnsi"/>
        </w:rPr>
      </w:pPr>
      <w:r w:rsidRPr="00854C51">
        <w:rPr>
          <w:rFonts w:eastAsia="Calibri" w:cstheme="minorHAnsi"/>
        </w:rPr>
        <w:t>księgowanie dokumentów księgowych, w zakresie umów zleceń, uzgadnianie wysokości składek ZUS i PIT z Wydziałem Ewidencji Księgowej Wynagrodzeń i Kasą Biura Księgowości i Kontrasygnaty,</w:t>
      </w:r>
    </w:p>
    <w:p w14:paraId="172AF237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eastAsia="Calibri" w:cstheme="minorHAnsi"/>
        </w:rPr>
      </w:pPr>
      <w:bookmarkStart w:id="0" w:name="_Hlk50020092"/>
      <w:r w:rsidRPr="00854C51">
        <w:rPr>
          <w:rFonts w:eastAsia="Calibri" w:cstheme="minorHAnsi"/>
        </w:rPr>
        <w:t>zastępowanie w razie potrzeby innych pracowników w dziale Księgowo -Budżetowym.</w:t>
      </w:r>
    </w:p>
    <w:bookmarkEnd w:id="0"/>
    <w:p w14:paraId="659ADAC8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wykonywanie innych poleceń przełożonych wchodzących w zakres działania Działu Księgowo-Budżetowego,</w:t>
      </w:r>
    </w:p>
    <w:p w14:paraId="00C80A58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przestrzeganie dyscypliny budżetowej i niedopuszczanie do jej naruszenia.</w:t>
      </w:r>
    </w:p>
    <w:p w14:paraId="154183B9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terminowe sporządzanie obowiązującej sprawozdawczości finansowej na podstawie prawidłowej i rzetelnej  ewidencji księgowej,</w:t>
      </w:r>
    </w:p>
    <w:p w14:paraId="0D671B11" w14:textId="77777777" w:rsidR="004A42BA" w:rsidRPr="00854C51" w:rsidRDefault="004A42BA" w:rsidP="00854C51">
      <w:pPr>
        <w:numPr>
          <w:ilvl w:val="0"/>
          <w:numId w:val="20"/>
        </w:numPr>
        <w:spacing w:after="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dokonywanie w ramach kontroli gospodarczej czynności związanych ze sprawowaniem kontroli wewnętrznej w zakresie:</w:t>
      </w:r>
    </w:p>
    <w:p w14:paraId="47860566" w14:textId="77777777" w:rsidR="004A42BA" w:rsidRPr="00854C51" w:rsidRDefault="004A42BA" w:rsidP="00854C51">
      <w:pPr>
        <w:numPr>
          <w:ilvl w:val="0"/>
          <w:numId w:val="21"/>
        </w:numPr>
        <w:spacing w:after="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dysponowania środkami pieniężnymi,</w:t>
      </w:r>
    </w:p>
    <w:p w14:paraId="7B89EE4F" w14:textId="77777777" w:rsidR="004A42BA" w:rsidRPr="00854C51" w:rsidRDefault="004A42BA" w:rsidP="00854C51">
      <w:pPr>
        <w:numPr>
          <w:ilvl w:val="0"/>
          <w:numId w:val="21"/>
        </w:numPr>
        <w:spacing w:after="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obrotami pieniężnymi na rachunkach bankowych</w:t>
      </w:r>
    </w:p>
    <w:p w14:paraId="75884388" w14:textId="77777777" w:rsidR="004A42BA" w:rsidRPr="00854C51" w:rsidRDefault="004A42BA" w:rsidP="00854C51">
      <w:pPr>
        <w:numPr>
          <w:ilvl w:val="0"/>
          <w:numId w:val="21"/>
        </w:numPr>
        <w:spacing w:after="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przyjmowaniem, wydawaniem, zakupem i ewidencją środków trwałych i wyposażenia,</w:t>
      </w:r>
    </w:p>
    <w:p w14:paraId="149CBE6C" w14:textId="1AB65A23" w:rsidR="004A42BA" w:rsidRPr="00854C51" w:rsidRDefault="004A42BA" w:rsidP="00854C51">
      <w:pPr>
        <w:spacing w:after="240" w:line="300" w:lineRule="auto"/>
        <w:jc w:val="both"/>
        <w:rPr>
          <w:rFonts w:eastAsia="Calibri" w:cstheme="minorHAnsi"/>
        </w:rPr>
      </w:pPr>
      <w:r w:rsidRPr="00854C51">
        <w:rPr>
          <w:rFonts w:eastAsia="Calibri" w:cstheme="minorHAnsi"/>
        </w:rPr>
        <w:t>zatwierdzanie dokumentów finansowych do wypłaty z upoważnienia Głównej Księgowej.</w:t>
      </w:r>
    </w:p>
    <w:p w14:paraId="5C41E975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Informacja o warunkach pracy na danym stanowisku:</w:t>
      </w:r>
    </w:p>
    <w:p w14:paraId="67A61E7E" w14:textId="77777777" w:rsidR="004A42BA" w:rsidRPr="00854C51" w:rsidRDefault="004A42BA" w:rsidP="00854C51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lastRenderedPageBreak/>
        <w:t>Miejsce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6AECC4AD" w14:textId="77777777" w:rsidR="004A42BA" w:rsidRPr="00854C51" w:rsidRDefault="004A42BA" w:rsidP="00854C51">
      <w:pPr>
        <w:spacing w:after="240" w:line="300" w:lineRule="auto"/>
        <w:rPr>
          <w:rFonts w:cstheme="minorHAnsi"/>
          <w:b/>
        </w:rPr>
      </w:pPr>
      <w:r w:rsidRPr="00854C51">
        <w:rPr>
          <w:rFonts w:cstheme="minorHAnsi"/>
        </w:rPr>
        <w:t>Praca w budynku Zarządu Mienia m.st. Warszawy  ul. Jana Kazimierza 62, oraz innych obiektach zewnętrznych administrowanych przez ZMW . Bezpieczne warunki pracy. Budynek wyposażony jest w windę.</w:t>
      </w:r>
    </w:p>
    <w:p w14:paraId="1842192F" w14:textId="77777777" w:rsidR="004A42BA" w:rsidRPr="00854C51" w:rsidRDefault="004A42BA" w:rsidP="00854C51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Stanowisko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3ACCEF20" w14:textId="77777777" w:rsidR="004A42BA" w:rsidRPr="00854C51" w:rsidRDefault="004A42BA" w:rsidP="00854C51">
      <w:pPr>
        <w:spacing w:after="240" w:line="300" w:lineRule="auto"/>
        <w:rPr>
          <w:rFonts w:cstheme="minorHAnsi"/>
        </w:rPr>
      </w:pPr>
      <w:r w:rsidRPr="00854C51">
        <w:rPr>
          <w:rFonts w:cstheme="minorHAnsi"/>
        </w:rPr>
        <w:t>Stanowisko pracy administracyjno-biurowe, związane z pracą na komputerze, przemieszczanie się wewnątrz budynku, wyjazdami służbowymi na terenie m.st. Warszawy oraz poza m.st. Warszawa</w:t>
      </w:r>
      <w:r w:rsidRPr="00854C51">
        <w:rPr>
          <w:rStyle w:val="Nagwek4Znak"/>
          <w:rFonts w:asciiTheme="minorHAnsi" w:eastAsiaTheme="minorHAnsi" w:hAnsiTheme="minorHAnsi" w:cstheme="minorHAnsi"/>
          <w:szCs w:val="22"/>
        </w:rPr>
        <w:t>.</w:t>
      </w:r>
    </w:p>
    <w:p w14:paraId="62FE6A4D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formalne niezbędne:</w:t>
      </w:r>
    </w:p>
    <w:p w14:paraId="5540F758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obywatelstwo polskie (o stanowisko mogą ubiegać się również osoby nie posiadające obywatelstwa polskiego zgodnie z art. 11 ust. 2 i 3 ustawy z 21 listopada 2008 r. o pracownikach samorządowych (Dz. U. 2022, poz. 530 ),</w:t>
      </w:r>
    </w:p>
    <w:p w14:paraId="385DCFF9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pełna zdolność do czynności prawnych oraz korzystanie z pełni praw publicznych,</w:t>
      </w:r>
    </w:p>
    <w:p w14:paraId="0200579B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niekaralność za umyślne przestępstwo ścigane z oskarżenia publicznego lub umyślne przestępstwo skarbowe,</w:t>
      </w:r>
    </w:p>
    <w:p w14:paraId="622D881C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wykształcenie wyższe ekonomiczne (preferowane o profilu  finanse, rachunkowość),</w:t>
      </w:r>
    </w:p>
    <w:p w14:paraId="07CB79DD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i umiejętność stosowania przepisów w zakresie wymaganym w opisie stanowiska pracy (ustawa o podatku od towarów i usług, ustawa o rachunkowości, ustawa o finansach  publicznych),</w:t>
      </w:r>
    </w:p>
    <w:p w14:paraId="240EB5AE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umiejętność sprawnej obsługi komputera,</w:t>
      </w:r>
    </w:p>
    <w:p w14:paraId="635C95FF" w14:textId="77777777" w:rsidR="004A42BA" w:rsidRPr="00854C51" w:rsidRDefault="004A42BA" w:rsidP="00854C51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zasad funkcjonowania jednostek sektora finansów publicznych,</w:t>
      </w:r>
    </w:p>
    <w:p w14:paraId="71F343E8" w14:textId="77777777" w:rsidR="004A42BA" w:rsidRPr="00854C51" w:rsidRDefault="004A42BA" w:rsidP="00854C51">
      <w:pPr>
        <w:pStyle w:val="Akapitzlist"/>
        <w:numPr>
          <w:ilvl w:val="0"/>
          <w:numId w:val="19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minimum 4 -letni staż pracy lub wykonywana co najmniej przez 4 lata działalność gospodarcza o charakterze zgodnym z wymaganiami na tym stanowisku,</w:t>
      </w:r>
    </w:p>
    <w:p w14:paraId="1C81072E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dodatkowe będące przedmiotem oceny</w:t>
      </w:r>
    </w:p>
    <w:p w14:paraId="1CFD38C5" w14:textId="77777777" w:rsidR="004A42BA" w:rsidRPr="00854C51" w:rsidRDefault="004A42BA" w:rsidP="00854C51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zdolności organizacyjne i analityczne, odpowiedzialność, systematyczność, odporność na stres, komunikatywność, umiejętność pracy w zespole, kreatywność</w:t>
      </w:r>
    </w:p>
    <w:p w14:paraId="397794DD" w14:textId="77777777" w:rsidR="004A42BA" w:rsidRPr="00854C51" w:rsidRDefault="004A42BA" w:rsidP="00854C51">
      <w:pPr>
        <w:numPr>
          <w:ilvl w:val="0"/>
          <w:numId w:val="17"/>
        </w:numPr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doświadczenie w pracy w Dziale Księgowości.</w:t>
      </w:r>
    </w:p>
    <w:p w14:paraId="3B96BE13" w14:textId="77777777" w:rsidR="004A42BA" w:rsidRPr="00854C51" w:rsidRDefault="004A42BA" w:rsidP="00854C51">
      <w:pPr>
        <w:numPr>
          <w:ilvl w:val="0"/>
          <w:numId w:val="17"/>
        </w:numPr>
        <w:spacing w:after="240" w:line="300" w:lineRule="auto"/>
        <w:ind w:left="714" w:hanging="357"/>
        <w:jc w:val="both"/>
        <w:rPr>
          <w:rFonts w:cstheme="minorHAnsi"/>
        </w:rPr>
      </w:pPr>
      <w:r w:rsidRPr="00854C51">
        <w:rPr>
          <w:rFonts w:cstheme="minorHAnsi"/>
        </w:rPr>
        <w:t>Znajomość obsługi programu Enova</w:t>
      </w:r>
    </w:p>
    <w:p w14:paraId="2106A5F0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Wskaźnik zatrudnienia osób niepełnosprawnych:</w:t>
      </w:r>
    </w:p>
    <w:p w14:paraId="1718A329" w14:textId="77777777" w:rsidR="004A42BA" w:rsidRPr="00854C51" w:rsidRDefault="004A42BA" w:rsidP="00854C51">
      <w:pPr>
        <w:spacing w:after="240" w:line="300" w:lineRule="auto"/>
        <w:rPr>
          <w:rFonts w:cstheme="minorHAnsi"/>
        </w:rPr>
      </w:pPr>
      <w:r w:rsidRPr="00854C51">
        <w:rPr>
          <w:rFonts w:cstheme="minorHAnsi"/>
        </w:rPr>
        <w:t xml:space="preserve"> W miesiącu poprzedzającym datę upublicznienia ogłoszenia wskaźnik zatrudnienia osób niepełnosprawnych w jednostce, w rozumieniu przepisów o rehabilitacji zawodowej i społecznej oraz zatrudnianiu osób niepełnosprawnych, jest niższy niż 6%.</w:t>
      </w:r>
    </w:p>
    <w:p w14:paraId="27380D80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Wymagane dokumenty i oświadczenia:</w:t>
      </w:r>
    </w:p>
    <w:p w14:paraId="2C6AA46B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curriculum vitae z przebiegiem nauki i pracy zawodowej – podpisane odręcznie,</w:t>
      </w:r>
    </w:p>
    <w:p w14:paraId="12326A33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list motywacyjny – podpisany odręcznie,</w:t>
      </w:r>
    </w:p>
    <w:p w14:paraId="3320EB63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kserokopia dokumentów potwierdzających wymagane wykształcenie,</w:t>
      </w:r>
    </w:p>
    <w:p w14:paraId="10F30C09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57216B4B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posiadanym obywatelstwie – podpisane odręcznie,</w:t>
      </w:r>
    </w:p>
    <w:p w14:paraId="381DF4AA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pełnej zdolności do czynności prawnych oraz korzystaniu z pełni praw publicznych – podpisane odręcznie,</w:t>
      </w:r>
    </w:p>
    <w:p w14:paraId="703FDE1E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oświadczenie, że kandydat nie był skazany prawomocnym wyrokiem sądu za umyślne przestępstwo ścigane z oskarżenia publicznego lub umyślne przestępstwo skarbowe - podpisane odręcznie,</w:t>
      </w:r>
    </w:p>
    <w:p w14:paraId="5D392639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kopia dokumentu potwierdzającego znajomość języka polskiego (dotyczy osób nieposiadających obywatelstwa polskiego),</w:t>
      </w:r>
    </w:p>
    <w:p w14:paraId="747C4653" w14:textId="77777777" w:rsidR="004A42BA" w:rsidRPr="00854C51" w:rsidRDefault="004A42BA" w:rsidP="00854C51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podpisana odręcznie klauzula o treści: ,,Wyrażam zgodę na przetwarzanie moich danych osobowych zawartych w ofercie pracy dla potrzeb rekrutacji, zgodnie z ustawą z dnia 29.08.1997 r. o ochronie danych osobowych, ustawy z 10 maja 2018 r. o ochronie danych osobowych (Dz.U.2018 poz.1000,Dz.U. z 2019r poz.1461 i 1781 z póz zm.) o zmianie niektórych ustaw w związku z zapewnieniem stosowania rozporządzenia Parlamentu Europejskiego i Rady (UE)na podstawie art. 6 ust. 1 lit. a/ 2016/679 z 27 kwietnia 2016 r. w sprawie ochrony osób fizycznych w związku z przetwarzaniem danych osobowych i w sprawie swobodnego przepływu tych danych oraz uchylenia dyrektywy 95/46/WE (ogólne rozporządzenie o ochronie danych osobowych), (Dz.U. 2019,poz.730)</w:t>
      </w:r>
    </w:p>
    <w:p w14:paraId="5EA2D463" w14:textId="77777777" w:rsidR="004A42BA" w:rsidRPr="00854C51" w:rsidRDefault="004A42BA" w:rsidP="00854C51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dokumenty sporządzone w języku obcym należy przetłumaczyć na język polski</w:t>
      </w:r>
    </w:p>
    <w:p w14:paraId="27BACC15" w14:textId="5C916F24" w:rsidR="004A42BA" w:rsidRPr="00854C51" w:rsidRDefault="004A42BA" w:rsidP="00854C51">
      <w:pPr>
        <w:pStyle w:val="Nagwek3"/>
        <w:spacing w:after="240"/>
        <w:ind w:right="-142"/>
        <w:rPr>
          <w:rFonts w:asciiTheme="minorHAnsi" w:hAnsiTheme="minorHAnsi" w:cstheme="minorHAnsi"/>
          <w:b w:val="0"/>
          <w:bCs w:val="0"/>
          <w:szCs w:val="22"/>
        </w:rPr>
      </w:pP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Osoby zainteresowane prosimy o dostarczenie kompletu dokumentów osobiście do pokoju 401, do godz. 15.00, w siedzibie Zarządu Mienia m.st. Warszawy lub przesłanie za pośrednictwem operatora pocztowego na podany poniżej adres </w:t>
      </w:r>
      <w:r w:rsidRPr="00854C51">
        <w:rPr>
          <w:rFonts w:asciiTheme="minorHAnsi" w:hAnsiTheme="minorHAnsi" w:cstheme="minorHAnsi"/>
          <w:szCs w:val="22"/>
        </w:rPr>
        <w:t>do</w:t>
      </w: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854C51">
        <w:rPr>
          <w:rFonts w:asciiTheme="minorHAnsi" w:hAnsiTheme="minorHAnsi" w:cstheme="minorHAnsi"/>
          <w:szCs w:val="22"/>
        </w:rPr>
        <w:t>06 września 2024 r. do godz. 15.00</w:t>
      </w:r>
    </w:p>
    <w:p w14:paraId="44340D9B" w14:textId="77777777" w:rsidR="004A42BA" w:rsidRPr="00854C51" w:rsidRDefault="004A42BA" w:rsidP="00854C51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Adres składania dokumentów:</w:t>
      </w:r>
    </w:p>
    <w:p w14:paraId="1BFAD432" w14:textId="77777777" w:rsidR="004A42BA" w:rsidRPr="00854C51" w:rsidRDefault="004A42BA" w:rsidP="00854C51">
      <w:pPr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 xml:space="preserve">Zarząd Mienia m.st. Warszawy </w:t>
      </w:r>
    </w:p>
    <w:p w14:paraId="00AB3053" w14:textId="77777777" w:rsidR="004A42BA" w:rsidRPr="00854C51" w:rsidRDefault="004A42BA" w:rsidP="00854C51">
      <w:pPr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ul. Jana Kazimierza 62,</w:t>
      </w:r>
    </w:p>
    <w:p w14:paraId="42698F6F" w14:textId="77777777" w:rsidR="004A42BA" w:rsidRPr="00854C51" w:rsidRDefault="004A42BA" w:rsidP="00854C51">
      <w:pPr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 xml:space="preserve">01-248 Warszawa </w:t>
      </w:r>
    </w:p>
    <w:p w14:paraId="66B06067" w14:textId="6EC965FA" w:rsidR="004A42BA" w:rsidRPr="00854C51" w:rsidRDefault="004A42BA" w:rsidP="00854C51">
      <w:pPr>
        <w:spacing w:after="240" w:line="300" w:lineRule="auto"/>
        <w:rPr>
          <w:rFonts w:cstheme="minorHAnsi"/>
          <w:b/>
          <w:bCs/>
        </w:rPr>
      </w:pPr>
      <w:r w:rsidRPr="00854C51">
        <w:rPr>
          <w:rFonts w:cstheme="minorHAnsi"/>
        </w:rPr>
        <w:t xml:space="preserve">z dopiskiem na kopercie </w:t>
      </w:r>
      <w:r w:rsidRPr="00854C51">
        <w:rPr>
          <w:rFonts w:cstheme="minorHAnsi"/>
          <w:b/>
          <w:bCs/>
        </w:rPr>
        <w:t xml:space="preserve">,,Konkurs na stanowisko </w:t>
      </w:r>
      <w:r w:rsidR="0000112F">
        <w:rPr>
          <w:rFonts w:cstheme="minorHAnsi"/>
          <w:b/>
          <w:bCs/>
        </w:rPr>
        <w:t>Główny specjalista ds. podatkowych</w:t>
      </w:r>
      <w:r w:rsidRPr="00854C51">
        <w:rPr>
          <w:rFonts w:cstheme="minorHAnsi"/>
          <w:b/>
          <w:bCs/>
        </w:rPr>
        <w:t xml:space="preserve"> </w:t>
      </w:r>
      <w:r w:rsidR="0000112F">
        <w:rPr>
          <w:rFonts w:cstheme="minorHAnsi"/>
          <w:b/>
          <w:bCs/>
        </w:rPr>
        <w:t>w</w:t>
      </w:r>
      <w:r w:rsidRPr="00854C51">
        <w:rPr>
          <w:rFonts w:cstheme="minorHAnsi"/>
          <w:b/>
          <w:bCs/>
        </w:rPr>
        <w:t xml:space="preserve"> Dzia</w:t>
      </w:r>
      <w:r w:rsidR="0000112F">
        <w:rPr>
          <w:rFonts w:cstheme="minorHAnsi"/>
          <w:b/>
          <w:bCs/>
        </w:rPr>
        <w:t>le</w:t>
      </w:r>
      <w:r w:rsidRPr="00854C51">
        <w:rPr>
          <w:rFonts w:cstheme="minorHAnsi"/>
          <w:b/>
          <w:bCs/>
        </w:rPr>
        <w:t xml:space="preserve"> Księgowo- Budżetow</w:t>
      </w:r>
      <w:r w:rsidR="0000112F">
        <w:rPr>
          <w:rFonts w:cstheme="minorHAnsi"/>
          <w:b/>
          <w:bCs/>
        </w:rPr>
        <w:t>ym</w:t>
      </w:r>
      <w:r w:rsidRPr="00854C51">
        <w:rPr>
          <w:rFonts w:cstheme="minorHAnsi"/>
          <w:b/>
          <w:bCs/>
        </w:rPr>
        <w:t>”</w:t>
      </w:r>
    </w:p>
    <w:p w14:paraId="176F34E0" w14:textId="77777777" w:rsidR="004A42BA" w:rsidRPr="00854C51" w:rsidRDefault="004A42BA" w:rsidP="00854C51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Oferty odrzucone zostaną komisyjnie zniszczone</w:t>
      </w:r>
    </w:p>
    <w:p w14:paraId="60BAF03B" w14:textId="1FB24808" w:rsidR="00EE489D" w:rsidRPr="00854C51" w:rsidRDefault="004A42BA" w:rsidP="00854C51">
      <w:pPr>
        <w:spacing w:line="300" w:lineRule="auto"/>
        <w:rPr>
          <w:rFonts w:cstheme="minorHAnsi"/>
          <w:b/>
        </w:rPr>
      </w:pPr>
      <w:r w:rsidRPr="00854C51">
        <w:rPr>
          <w:rFonts w:cstheme="minorHAnsi"/>
          <w:b/>
        </w:rPr>
        <w:t>Dokumenty uważa się za dostarczone w terminie, jeżeli wpłynęły na w/w. adres w terminie do 06.09.2024 r. do godz. 15.00</w:t>
      </w:r>
    </w:p>
    <w:p w14:paraId="7E9EEA30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318B1CB7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40D953E6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6C7479F7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4B77E9A6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524B54F4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p w14:paraId="2F06F1B4" w14:textId="77777777" w:rsidR="00EE489D" w:rsidRPr="00854C51" w:rsidRDefault="00EE489D" w:rsidP="00854C51">
      <w:pPr>
        <w:spacing w:after="0" w:line="300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</w:p>
    <w:sectPr w:rsidR="00EE489D" w:rsidRPr="0085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8279" w14:textId="77777777" w:rsidR="00221F25" w:rsidRDefault="00221F25" w:rsidP="00EE489D">
      <w:pPr>
        <w:spacing w:after="0" w:line="240" w:lineRule="auto"/>
      </w:pPr>
      <w:r>
        <w:separator/>
      </w:r>
    </w:p>
  </w:endnote>
  <w:endnote w:type="continuationSeparator" w:id="0">
    <w:p w14:paraId="43997E63" w14:textId="77777777" w:rsidR="00221F25" w:rsidRDefault="00221F25" w:rsidP="00E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F957" w14:textId="77777777" w:rsidR="00221F25" w:rsidRDefault="00221F25" w:rsidP="00EE489D">
      <w:pPr>
        <w:spacing w:after="0" w:line="240" w:lineRule="auto"/>
      </w:pPr>
      <w:r>
        <w:separator/>
      </w:r>
    </w:p>
  </w:footnote>
  <w:footnote w:type="continuationSeparator" w:id="0">
    <w:p w14:paraId="3E855E75" w14:textId="77777777" w:rsidR="00221F25" w:rsidRDefault="00221F25" w:rsidP="00EE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8FB"/>
    <w:multiLevelType w:val="hybridMultilevel"/>
    <w:tmpl w:val="35347520"/>
    <w:lvl w:ilvl="0" w:tplc="4034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174578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76B42"/>
    <w:multiLevelType w:val="hybridMultilevel"/>
    <w:tmpl w:val="2956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5F6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4A1669"/>
    <w:multiLevelType w:val="hybridMultilevel"/>
    <w:tmpl w:val="AC3E6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E62AF"/>
    <w:multiLevelType w:val="hybridMultilevel"/>
    <w:tmpl w:val="3640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17286"/>
    <w:multiLevelType w:val="hybridMultilevel"/>
    <w:tmpl w:val="EE0CC9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5451B64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6801C5"/>
    <w:multiLevelType w:val="hybridMultilevel"/>
    <w:tmpl w:val="BB5E9186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981687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12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97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204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637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22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85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927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2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53839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43524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715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480921">
    <w:abstractNumId w:val="6"/>
  </w:num>
  <w:num w:numId="14" w16cid:durableId="1603565784">
    <w:abstractNumId w:val="17"/>
  </w:num>
  <w:num w:numId="15" w16cid:durableId="1587878636">
    <w:abstractNumId w:val="11"/>
  </w:num>
  <w:num w:numId="16" w16cid:durableId="1710180276">
    <w:abstractNumId w:val="20"/>
  </w:num>
  <w:num w:numId="17" w16cid:durableId="1335644593">
    <w:abstractNumId w:val="14"/>
  </w:num>
  <w:num w:numId="18" w16cid:durableId="2102748941">
    <w:abstractNumId w:val="3"/>
  </w:num>
  <w:num w:numId="19" w16cid:durableId="67391399">
    <w:abstractNumId w:val="8"/>
  </w:num>
  <w:num w:numId="20" w16cid:durableId="16544314">
    <w:abstractNumId w:val="10"/>
  </w:num>
  <w:num w:numId="21" w16cid:durableId="185638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0112F"/>
    <w:rsid w:val="00084F92"/>
    <w:rsid w:val="000E6D0D"/>
    <w:rsid w:val="0016689F"/>
    <w:rsid w:val="00207AA6"/>
    <w:rsid w:val="00221F25"/>
    <w:rsid w:val="00283714"/>
    <w:rsid w:val="00314DFF"/>
    <w:rsid w:val="003D68F2"/>
    <w:rsid w:val="003E1D1E"/>
    <w:rsid w:val="004A42BA"/>
    <w:rsid w:val="0056228C"/>
    <w:rsid w:val="005D76D0"/>
    <w:rsid w:val="00627F0D"/>
    <w:rsid w:val="006F16CC"/>
    <w:rsid w:val="00705F70"/>
    <w:rsid w:val="007A042F"/>
    <w:rsid w:val="00824C3F"/>
    <w:rsid w:val="008262E2"/>
    <w:rsid w:val="00852708"/>
    <w:rsid w:val="00854C51"/>
    <w:rsid w:val="00856724"/>
    <w:rsid w:val="009609E2"/>
    <w:rsid w:val="009645BC"/>
    <w:rsid w:val="0096650D"/>
    <w:rsid w:val="009C0C63"/>
    <w:rsid w:val="009C7480"/>
    <w:rsid w:val="00A3655B"/>
    <w:rsid w:val="00A81D72"/>
    <w:rsid w:val="00AC7183"/>
    <w:rsid w:val="00B07664"/>
    <w:rsid w:val="00BA47C0"/>
    <w:rsid w:val="00C4455C"/>
    <w:rsid w:val="00C91DDD"/>
    <w:rsid w:val="00DD3584"/>
    <w:rsid w:val="00DF763C"/>
    <w:rsid w:val="00EE489D"/>
    <w:rsid w:val="00F02D0C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D413"/>
  <w15:chartTrackingRefBased/>
  <w15:docId w15:val="{2CC6D8DC-A9D5-4944-BAA4-5808F6E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2BA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2BA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42BA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E4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8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4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EE489D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A42BA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A42BA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A42BA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42BA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1876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Cichocka Grażyna</cp:lastModifiedBy>
  <cp:revision>4</cp:revision>
  <dcterms:created xsi:type="dcterms:W3CDTF">2024-08-19T06:13:00Z</dcterms:created>
  <dcterms:modified xsi:type="dcterms:W3CDTF">2024-08-20T05:34:00Z</dcterms:modified>
</cp:coreProperties>
</file>