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86895" w14:textId="6A52971F" w:rsidR="009B2F62" w:rsidRPr="0066693F" w:rsidRDefault="00C40F76" w:rsidP="00C40F76">
      <w:pPr>
        <w:jc w:val="center"/>
        <w:rPr>
          <w:rFonts w:cstheme="minorHAnsi"/>
          <w:b/>
          <w:bCs/>
          <w:sz w:val="24"/>
          <w:szCs w:val="24"/>
        </w:rPr>
      </w:pPr>
      <w:r w:rsidRPr="0066693F">
        <w:rPr>
          <w:rFonts w:cstheme="minorHAnsi"/>
          <w:b/>
          <w:bCs/>
          <w:sz w:val="24"/>
          <w:szCs w:val="24"/>
        </w:rPr>
        <w:t>Opis przedmiotu zamówienia</w:t>
      </w:r>
    </w:p>
    <w:p w14:paraId="4E0C70F1" w14:textId="3569700F" w:rsidR="00C40F76" w:rsidRPr="0066693F" w:rsidRDefault="00C40F76" w:rsidP="00C40F76">
      <w:p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Przedmiot zamówienia obejmuje dostarczenie 30 krzeseł, które spełniają minimalne wymagania bezpieczeństwa pracy oraz ergonomii, jakie powinny spełniać stanowiska pracy wyposażone w monitory ekranowe zgodnie z Rozporządzeniem Ministra Rodziny i Polityki Społecznej z dnia 18 października 2023 roku zmieniające rozporządzenie w sprawie bezpieczeństwa i higieny pracy na stanowiskach wyposażonych w monitory ekranowe.  Krzesła stanowiące wyposażenie stanowiska pracy powinny posiadać:</w:t>
      </w:r>
    </w:p>
    <w:p w14:paraId="4E55A3A5" w14:textId="77777777" w:rsidR="00C40F76" w:rsidRPr="0066693F" w:rsidRDefault="00C40F76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Dostateczną stabilność przez wyposażenie ich w podstawę co najmniej pięciopodporową z kółkami jezdnymi,</w:t>
      </w:r>
    </w:p>
    <w:p w14:paraId="4673BF77" w14:textId="77777777" w:rsidR="00C40F76" w:rsidRPr="0066693F" w:rsidRDefault="00C40F76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Regulację wysokości siedziska, regulację wysokości oparcia odcinka lędźwiowego kręgosłupa, regulację kąta pochylenia oparcia oraz odpowiednie wymiary oparcia i siedziska, zapewniające wygodną pozycję ciała i swobodę ruchów,</w:t>
      </w:r>
    </w:p>
    <w:p w14:paraId="61851FDB" w14:textId="77777777" w:rsidR="00C40F76" w:rsidRPr="0066693F" w:rsidRDefault="00C40F76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Wyprofilowanie siedziska i oparcia odpowiednie do naturalnego wygięcia kręgosłupa i ud,</w:t>
      </w:r>
    </w:p>
    <w:p w14:paraId="4B23F66A" w14:textId="77777777" w:rsidR="00C40F76" w:rsidRPr="0066693F" w:rsidRDefault="00C40F76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Możliwość obrotu wokół osi pionowej o 360°,</w:t>
      </w:r>
    </w:p>
    <w:p w14:paraId="3DB122E4" w14:textId="77777777" w:rsidR="00C40F76" w:rsidRPr="0066693F" w:rsidRDefault="00C40F76" w:rsidP="00C40F76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vanish/>
          <w:specVanish/>
        </w:rPr>
      </w:pPr>
      <w:r w:rsidRPr="0066693F">
        <w:rPr>
          <w:rFonts w:cstheme="minorHAnsi"/>
        </w:rPr>
        <w:t>Regulowane podłokietniki.</w:t>
      </w:r>
    </w:p>
    <w:p w14:paraId="4F944B43" w14:textId="77777777" w:rsidR="00C40F76" w:rsidRPr="0066693F" w:rsidRDefault="00C40F76" w:rsidP="00C40F76">
      <w:p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 xml:space="preserve"> </w:t>
      </w:r>
    </w:p>
    <w:p w14:paraId="0718194B" w14:textId="77777777" w:rsidR="00C40F76" w:rsidRPr="0066693F" w:rsidRDefault="00C40F76" w:rsidP="00C40F76">
      <w:pPr>
        <w:spacing w:after="0" w:line="240" w:lineRule="auto"/>
        <w:rPr>
          <w:rFonts w:cstheme="minorHAnsi"/>
        </w:rPr>
      </w:pPr>
    </w:p>
    <w:p w14:paraId="428EFE74" w14:textId="4C2576FB" w:rsidR="00C40F76" w:rsidRPr="0066693F" w:rsidRDefault="00C40F76" w:rsidP="00C40F76">
      <w:p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Dodatkowo krzesła powinny spełniać poniższe wymagania:</w:t>
      </w:r>
    </w:p>
    <w:p w14:paraId="760793AD" w14:textId="56524879" w:rsidR="00C40F76" w:rsidRPr="0066693F" w:rsidRDefault="00405708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Wytrzymałość fotela – minimum 150 kg</w:t>
      </w:r>
      <w:r w:rsidR="00E63D0E">
        <w:rPr>
          <w:rFonts w:cstheme="minorHAnsi"/>
        </w:rPr>
        <w:t>;</w:t>
      </w:r>
    </w:p>
    <w:p w14:paraId="56B86DB6" w14:textId="71F07C65" w:rsidR="00405708" w:rsidRPr="0066693F" w:rsidRDefault="00405708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Kolor: czarny</w:t>
      </w:r>
      <w:r w:rsidR="00E63D0E">
        <w:rPr>
          <w:rFonts w:cstheme="minorHAnsi"/>
        </w:rPr>
        <w:t>;</w:t>
      </w:r>
    </w:p>
    <w:p w14:paraId="033145E6" w14:textId="655C09E2" w:rsidR="00405708" w:rsidRPr="0066693F" w:rsidRDefault="00405708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Posiadać zagłówek z regulacją wysokości</w:t>
      </w:r>
      <w:r w:rsidR="00E63D0E">
        <w:rPr>
          <w:rFonts w:cstheme="minorHAnsi"/>
        </w:rPr>
        <w:t>;</w:t>
      </w:r>
    </w:p>
    <w:p w14:paraId="1317B945" w14:textId="77777777" w:rsidR="00E63D0E" w:rsidRDefault="00405708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 xml:space="preserve">Oparcie: </w:t>
      </w:r>
    </w:p>
    <w:p w14:paraId="2E4A99B3" w14:textId="634E01BC" w:rsidR="00E63D0E" w:rsidRDefault="00E63D0E" w:rsidP="00E63D0E">
      <w:pPr>
        <w:pStyle w:val="Akapitzlist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 </w:t>
      </w:r>
      <w:r w:rsidR="00405708" w:rsidRPr="0066693F">
        <w:rPr>
          <w:rFonts w:cstheme="minorHAnsi"/>
        </w:rPr>
        <w:t>podwójna tapicerka wypełniona grubym (co najmniej 3 cm) wypełnieniem</w:t>
      </w:r>
      <w:r>
        <w:rPr>
          <w:rFonts w:cstheme="minorHAnsi"/>
        </w:rPr>
        <w:t>,</w:t>
      </w:r>
    </w:p>
    <w:p w14:paraId="7B7E03F2" w14:textId="6D174D4D" w:rsidR="00405708" w:rsidRPr="0066693F" w:rsidRDefault="00E63D0E" w:rsidP="00E63D0E">
      <w:pPr>
        <w:pStyle w:val="Akapitzlist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 </w:t>
      </w:r>
      <w:r w:rsidR="00405708" w:rsidRPr="0066693F">
        <w:rPr>
          <w:rFonts w:cstheme="minorHAnsi"/>
        </w:rPr>
        <w:t>odpor</w:t>
      </w:r>
      <w:r>
        <w:rPr>
          <w:rFonts w:cstheme="minorHAnsi"/>
        </w:rPr>
        <w:t>ność na</w:t>
      </w:r>
      <w:r w:rsidR="00405708" w:rsidRPr="0066693F">
        <w:rPr>
          <w:rFonts w:cstheme="minorHAnsi"/>
        </w:rPr>
        <w:t xml:space="preserve"> ścieranie materiału: min 50 tys. cykli </w:t>
      </w:r>
      <w:proofErr w:type="spellStart"/>
      <w:r w:rsidR="00405708" w:rsidRPr="0066693F">
        <w:rPr>
          <w:rFonts w:cstheme="minorHAnsi"/>
        </w:rPr>
        <w:t>Martindalea</w:t>
      </w:r>
      <w:proofErr w:type="spellEnd"/>
      <w:r>
        <w:rPr>
          <w:rFonts w:cstheme="minorHAnsi"/>
        </w:rPr>
        <w:t>;</w:t>
      </w:r>
    </w:p>
    <w:p w14:paraId="1DFB9A7F" w14:textId="3410B718" w:rsidR="00405708" w:rsidRPr="0066693F" w:rsidRDefault="0066693F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66693F">
        <w:rPr>
          <w:rFonts w:cstheme="minorHAnsi"/>
        </w:rPr>
        <w:t>Siedzisko tapicerowane tkaniną o parametrach nie gorszych jak:</w:t>
      </w:r>
    </w:p>
    <w:p w14:paraId="42872FB0" w14:textId="3F318D14" w:rsidR="00E63D0E" w:rsidRDefault="0066693F" w:rsidP="00E63D0E">
      <w:pPr>
        <w:spacing w:after="0" w:line="240" w:lineRule="auto"/>
        <w:ind w:left="709"/>
        <w:rPr>
          <w:rFonts w:cstheme="minorHAnsi"/>
        </w:rPr>
      </w:pPr>
      <w:r w:rsidRPr="0066693F">
        <w:rPr>
          <w:rFonts w:cstheme="minorHAnsi"/>
        </w:rPr>
        <w:t xml:space="preserve">- odporność na ścieranie </w:t>
      </w:r>
      <w:r w:rsidR="00E63D0E">
        <w:rPr>
          <w:rFonts w:cstheme="minorHAnsi"/>
        </w:rPr>
        <w:t>–</w:t>
      </w:r>
      <w:r w:rsidRPr="0066693F">
        <w:rPr>
          <w:rFonts w:cstheme="minorHAnsi"/>
        </w:rPr>
        <w:t xml:space="preserve"> 100</w:t>
      </w:r>
      <w:r w:rsidR="00E63D0E">
        <w:rPr>
          <w:rFonts w:cstheme="minorHAnsi"/>
        </w:rPr>
        <w:t xml:space="preserve"> tys.</w:t>
      </w:r>
      <w:r w:rsidRPr="0066693F">
        <w:rPr>
          <w:rFonts w:cstheme="minorHAnsi"/>
        </w:rPr>
        <w:t xml:space="preserve"> cykli </w:t>
      </w:r>
      <w:proofErr w:type="spellStart"/>
      <w:r w:rsidRPr="0066693F">
        <w:rPr>
          <w:rFonts w:cstheme="minorHAnsi"/>
        </w:rPr>
        <w:t>Martindale’a</w:t>
      </w:r>
      <w:proofErr w:type="spellEnd"/>
      <w:r w:rsidRPr="0066693F">
        <w:rPr>
          <w:rFonts w:cstheme="minorHAnsi"/>
        </w:rPr>
        <w:t xml:space="preserve"> (PN-EN ISO 12947-2)</w:t>
      </w:r>
      <w:r>
        <w:rPr>
          <w:rFonts w:cstheme="minorHAnsi"/>
        </w:rPr>
        <w:t>,</w:t>
      </w:r>
    </w:p>
    <w:p w14:paraId="762627C3" w14:textId="42A56E9A" w:rsidR="00E63D0E" w:rsidRDefault="00E63D0E" w:rsidP="00E63D0E">
      <w:pPr>
        <w:spacing w:after="0" w:line="240" w:lineRule="auto"/>
        <w:ind w:left="709"/>
        <w:rPr>
          <w:rFonts w:cstheme="minorHAnsi"/>
        </w:rPr>
      </w:pPr>
      <w:r>
        <w:rPr>
          <w:rFonts w:cstheme="minorHAnsi"/>
        </w:rPr>
        <w:t xml:space="preserve">- </w:t>
      </w:r>
      <w:r w:rsidR="0066693F" w:rsidRPr="00E63D0E">
        <w:rPr>
          <w:rFonts w:cstheme="minorHAnsi"/>
        </w:rPr>
        <w:t xml:space="preserve">odporność na </w:t>
      </w:r>
      <w:proofErr w:type="spellStart"/>
      <w:r w:rsidR="0066693F" w:rsidRPr="00E63D0E">
        <w:rPr>
          <w:rFonts w:cstheme="minorHAnsi"/>
        </w:rPr>
        <w:t>piling</w:t>
      </w:r>
      <w:proofErr w:type="spellEnd"/>
      <w:r w:rsidR="0066693F" w:rsidRPr="00E63D0E">
        <w:rPr>
          <w:rFonts w:cstheme="minorHAnsi"/>
        </w:rPr>
        <w:t xml:space="preserve"> - 4-5 (PN-EN ISO 12945-2)</w:t>
      </w:r>
      <w:r>
        <w:rPr>
          <w:rFonts w:cstheme="minorHAnsi"/>
        </w:rPr>
        <w:t>,</w:t>
      </w:r>
    </w:p>
    <w:p w14:paraId="1FEC7386" w14:textId="63F77583" w:rsidR="0066693F" w:rsidRPr="00E63D0E" w:rsidRDefault="00E63D0E" w:rsidP="00E63D0E">
      <w:pPr>
        <w:spacing w:after="0" w:line="240" w:lineRule="auto"/>
        <w:ind w:left="709"/>
        <w:rPr>
          <w:rFonts w:cstheme="minorHAnsi"/>
        </w:rPr>
      </w:pPr>
      <w:r>
        <w:rPr>
          <w:rFonts w:cstheme="minorHAnsi"/>
        </w:rPr>
        <w:t xml:space="preserve">- </w:t>
      </w:r>
      <w:r w:rsidRPr="00E63D0E">
        <w:rPr>
          <w:rFonts w:cstheme="minorHAnsi"/>
        </w:rPr>
        <w:t>odporność na światło - 4-5 (PN-EN ISO 105–B02)</w:t>
      </w:r>
      <w:r>
        <w:rPr>
          <w:rFonts w:cstheme="minorHAnsi"/>
        </w:rPr>
        <w:t>;</w:t>
      </w:r>
    </w:p>
    <w:p w14:paraId="329C8DEB" w14:textId="69E34708" w:rsidR="00405708" w:rsidRDefault="00181313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Kółka przeznaczone zarówno do podłóg miękkich, jak i twardych;</w:t>
      </w:r>
    </w:p>
    <w:p w14:paraId="1BD9EE48" w14:textId="53AFB9AF" w:rsidR="004E64D5" w:rsidRDefault="004E64D5" w:rsidP="00C40F7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Mechanizm ruchowy:</w:t>
      </w:r>
    </w:p>
    <w:p w14:paraId="3DA7FE91" w14:textId="11B92B3F" w:rsidR="004E64D5" w:rsidRDefault="004E64D5" w:rsidP="004E64D5">
      <w:pPr>
        <w:pStyle w:val="Akapitzlist"/>
        <w:spacing w:after="0" w:line="240" w:lineRule="auto"/>
        <w:rPr>
          <w:rFonts w:cstheme="minorHAnsi"/>
        </w:rPr>
      </w:pPr>
      <w:r>
        <w:rPr>
          <w:rFonts w:cstheme="minorHAnsi"/>
        </w:rPr>
        <w:t>- funkcja „</w:t>
      </w:r>
      <w:proofErr w:type="spellStart"/>
      <w:r>
        <w:rPr>
          <w:rFonts w:cstheme="minorHAnsi"/>
        </w:rPr>
        <w:t>ant</w:t>
      </w:r>
      <w:r w:rsidR="00092B99">
        <w:rPr>
          <w:rFonts w:cstheme="minorHAnsi"/>
        </w:rPr>
        <w:t>i</w:t>
      </w:r>
      <w:r>
        <w:rPr>
          <w:rFonts w:cstheme="minorHAnsi"/>
        </w:rPr>
        <w:t>-shock</w:t>
      </w:r>
      <w:proofErr w:type="spellEnd"/>
      <w:r>
        <w:rPr>
          <w:rFonts w:cstheme="minorHAnsi"/>
        </w:rPr>
        <w:t xml:space="preserve">” </w:t>
      </w:r>
      <w:r w:rsidR="00050C37">
        <w:rPr>
          <w:rFonts w:cstheme="minorHAnsi"/>
        </w:rPr>
        <w:t>– oparcie po zwolnieniu blokady nie uderza w plecy,</w:t>
      </w:r>
    </w:p>
    <w:p w14:paraId="1927A8E2" w14:textId="6951B474" w:rsidR="00050C37" w:rsidRDefault="00050C37" w:rsidP="004E64D5">
      <w:pPr>
        <w:pStyle w:val="Akapitzlist"/>
        <w:spacing w:after="0" w:line="240" w:lineRule="auto"/>
        <w:rPr>
          <w:rFonts w:cstheme="minorHAnsi"/>
        </w:rPr>
      </w:pPr>
      <w:r>
        <w:rPr>
          <w:rFonts w:cstheme="minorHAnsi"/>
        </w:rPr>
        <w:t>- mechanizmy regulacji łatwo dostępne i proste w obsłudze, umożliwiające regulację z pozycji siedzącej,</w:t>
      </w:r>
    </w:p>
    <w:p w14:paraId="4704AC47" w14:textId="6F9418F9" w:rsidR="00050C37" w:rsidRDefault="00050C37" w:rsidP="004E64D5">
      <w:pPr>
        <w:pStyle w:val="Akapitzlist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 synchroniczny mechanizm umożliwiający na równoczesnym ruchu </w:t>
      </w:r>
      <w:r w:rsidR="00C37F66">
        <w:rPr>
          <w:rFonts w:cstheme="minorHAnsi"/>
        </w:rPr>
        <w:t>oparcia i siedziska z możliwością blokady w kilku pozycjach odchylenia;</w:t>
      </w:r>
    </w:p>
    <w:p w14:paraId="335333A8" w14:textId="2DFE6A70" w:rsidR="00181313" w:rsidRDefault="00181313" w:rsidP="00181313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Minimum 3 lata gwarancji w systemie </w:t>
      </w:r>
      <w:proofErr w:type="spellStart"/>
      <w:r>
        <w:rPr>
          <w:rFonts w:cstheme="minorHAnsi"/>
        </w:rPr>
        <w:t>door</w:t>
      </w:r>
      <w:proofErr w:type="spellEnd"/>
      <w:r>
        <w:rPr>
          <w:rFonts w:cstheme="minorHAnsi"/>
        </w:rPr>
        <w:t xml:space="preserve"> to </w:t>
      </w:r>
      <w:proofErr w:type="spellStart"/>
      <w:r>
        <w:rPr>
          <w:rFonts w:cstheme="minorHAnsi"/>
        </w:rPr>
        <w:t>door</w:t>
      </w:r>
      <w:proofErr w:type="spellEnd"/>
      <w:r w:rsidR="004E64D5">
        <w:rPr>
          <w:rFonts w:cstheme="minorHAnsi"/>
        </w:rPr>
        <w:t>;</w:t>
      </w:r>
    </w:p>
    <w:p w14:paraId="5D22F832" w14:textId="77777777" w:rsidR="004E64D5" w:rsidRPr="004E64D5" w:rsidRDefault="004E64D5" w:rsidP="004E64D5">
      <w:pPr>
        <w:spacing w:after="0" w:line="240" w:lineRule="auto"/>
        <w:ind w:left="360"/>
        <w:rPr>
          <w:rFonts w:cstheme="minorHAnsi"/>
        </w:rPr>
      </w:pPr>
    </w:p>
    <w:p w14:paraId="788CF1C9" w14:textId="77777777" w:rsidR="00181313" w:rsidRDefault="00181313" w:rsidP="00181313">
      <w:pPr>
        <w:spacing w:after="0" w:line="240" w:lineRule="auto"/>
        <w:rPr>
          <w:rFonts w:cstheme="minorHAnsi"/>
        </w:rPr>
      </w:pPr>
    </w:p>
    <w:p w14:paraId="7A28EE42" w14:textId="1A1D1084" w:rsidR="00181313" w:rsidRDefault="00181313" w:rsidP="00181313">
      <w:pPr>
        <w:spacing w:after="0" w:line="240" w:lineRule="auto"/>
        <w:rPr>
          <w:rFonts w:cstheme="minorHAnsi"/>
        </w:rPr>
      </w:pPr>
      <w:r>
        <w:rPr>
          <w:rFonts w:cstheme="minorHAnsi"/>
        </w:rPr>
        <w:t>Do oferty należy dołączyć dokumenty</w:t>
      </w:r>
      <w:r w:rsidR="004E64D5">
        <w:rPr>
          <w:rFonts w:cstheme="minorHAnsi"/>
        </w:rPr>
        <w:t>:</w:t>
      </w:r>
    </w:p>
    <w:p w14:paraId="33DB8530" w14:textId="4EABAD4E" w:rsidR="00181313" w:rsidRDefault="00181313" w:rsidP="00181313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Właściw</w:t>
      </w:r>
      <w:r w:rsidR="00B350A6">
        <w:rPr>
          <w:rFonts w:cstheme="minorHAnsi"/>
        </w:rPr>
        <w:t>e</w:t>
      </w:r>
      <w:r>
        <w:rPr>
          <w:rFonts w:cstheme="minorHAnsi"/>
        </w:rPr>
        <w:t xml:space="preserve"> atest</w:t>
      </w:r>
      <w:r w:rsidR="00B350A6">
        <w:rPr>
          <w:rFonts w:cstheme="minorHAnsi"/>
        </w:rPr>
        <w:t>y</w:t>
      </w:r>
      <w:r>
        <w:rPr>
          <w:rFonts w:cstheme="minorHAnsi"/>
        </w:rPr>
        <w:t xml:space="preserve"> </w:t>
      </w:r>
      <w:r w:rsidR="00B350A6">
        <w:rPr>
          <w:rFonts w:cstheme="minorHAnsi"/>
        </w:rPr>
        <w:t xml:space="preserve">potwierdzające </w:t>
      </w:r>
      <w:r>
        <w:rPr>
          <w:rFonts w:cstheme="minorHAnsi"/>
        </w:rPr>
        <w:t>wytrzymałoś</w:t>
      </w:r>
      <w:r w:rsidR="00B350A6">
        <w:rPr>
          <w:rFonts w:cstheme="minorHAnsi"/>
        </w:rPr>
        <w:t>ć,</w:t>
      </w:r>
      <w:r>
        <w:rPr>
          <w:rFonts w:cstheme="minorHAnsi"/>
        </w:rPr>
        <w:t xml:space="preserve"> bezpieczeństwa </w:t>
      </w:r>
      <w:r w:rsidR="00B350A6">
        <w:rPr>
          <w:rFonts w:cstheme="minorHAnsi"/>
        </w:rPr>
        <w:t>użytkowania, trudnopalność tkaniny i odporność na ścieranie</w:t>
      </w:r>
      <w:r w:rsidR="004E64D5">
        <w:rPr>
          <w:rFonts w:cstheme="minorHAnsi"/>
        </w:rPr>
        <w:t>;</w:t>
      </w:r>
    </w:p>
    <w:p w14:paraId="7EE8569B" w14:textId="77777777" w:rsidR="004E64D5" w:rsidRDefault="00B350A6" w:rsidP="00181313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Zaświadczenie niezależnego podmiotu, potwierdzające zgodność produktu </w:t>
      </w:r>
      <w:r w:rsidR="004E64D5">
        <w:rPr>
          <w:rFonts w:cstheme="minorHAnsi"/>
        </w:rPr>
        <w:t>z normą</w:t>
      </w:r>
      <w:r w:rsidR="004E64D5" w:rsidRPr="004E64D5">
        <w:rPr>
          <w:rFonts w:cstheme="minorHAnsi"/>
        </w:rPr>
        <w:t xml:space="preserve"> </w:t>
      </w:r>
      <w:r w:rsidR="004E64D5" w:rsidRPr="0066693F">
        <w:rPr>
          <w:rFonts w:cstheme="minorHAnsi"/>
        </w:rPr>
        <w:t xml:space="preserve">PN-EN 1335-1 </w:t>
      </w:r>
      <w:r w:rsidR="004E64D5">
        <w:rPr>
          <w:rFonts w:cstheme="minorHAnsi"/>
        </w:rPr>
        <w:t>w zakresie wymiarów lub równoważną;</w:t>
      </w:r>
    </w:p>
    <w:p w14:paraId="4E614F6C" w14:textId="3883A09E" w:rsidR="00B350A6" w:rsidRDefault="004E64D5" w:rsidP="00181313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Zaświadczenie niezależnego podmiotu, potwierdzające zgodność produktu z normą</w:t>
      </w:r>
      <w:r w:rsidRPr="004E64D5">
        <w:rPr>
          <w:rFonts w:cstheme="minorHAnsi"/>
        </w:rPr>
        <w:t xml:space="preserve"> </w:t>
      </w:r>
      <w:r w:rsidRPr="0066693F">
        <w:rPr>
          <w:rFonts w:cstheme="minorHAnsi"/>
        </w:rPr>
        <w:t>PN-EN 1335-</w:t>
      </w:r>
      <w:r>
        <w:rPr>
          <w:rFonts w:cstheme="minorHAnsi"/>
        </w:rPr>
        <w:t>2</w:t>
      </w:r>
      <w:r w:rsidRPr="0066693F">
        <w:rPr>
          <w:rFonts w:cstheme="minorHAnsi"/>
        </w:rPr>
        <w:t xml:space="preserve"> </w:t>
      </w:r>
      <w:r>
        <w:rPr>
          <w:rFonts w:cstheme="minorHAnsi"/>
        </w:rPr>
        <w:t>w zakresie bezpieczeństwa lub równoważną;</w:t>
      </w:r>
    </w:p>
    <w:p w14:paraId="120F8F5E" w14:textId="34887D95" w:rsidR="004E64D5" w:rsidRDefault="004E64D5" w:rsidP="004E64D5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Zaświadczenie niezależnego podmiotu, potwierdzające zgodność produktu z normą</w:t>
      </w:r>
      <w:r w:rsidRPr="004E64D5">
        <w:rPr>
          <w:rFonts w:cstheme="minorHAnsi"/>
        </w:rPr>
        <w:t xml:space="preserve"> </w:t>
      </w:r>
      <w:r w:rsidRPr="0066693F">
        <w:rPr>
          <w:rFonts w:cstheme="minorHAnsi"/>
        </w:rPr>
        <w:t>PN-EN 1335-</w:t>
      </w:r>
      <w:r>
        <w:rPr>
          <w:rFonts w:cstheme="minorHAnsi"/>
        </w:rPr>
        <w:t>3</w:t>
      </w:r>
      <w:r w:rsidRPr="0066693F">
        <w:rPr>
          <w:rFonts w:cstheme="minorHAnsi"/>
        </w:rPr>
        <w:t xml:space="preserve"> </w:t>
      </w:r>
      <w:r>
        <w:rPr>
          <w:rFonts w:cstheme="minorHAnsi"/>
        </w:rPr>
        <w:t>w zakresie stabilności i wytrzymałości lub równoważną;</w:t>
      </w:r>
    </w:p>
    <w:p w14:paraId="73730DE1" w14:textId="2B84680F" w:rsidR="00050C37" w:rsidRPr="00181313" w:rsidRDefault="00050C37" w:rsidP="004E64D5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Kartę produktu z wizualizacją.</w:t>
      </w:r>
    </w:p>
    <w:p w14:paraId="3D66323E" w14:textId="77777777" w:rsidR="00C40F76" w:rsidRPr="0066693F" w:rsidRDefault="00C40F76" w:rsidP="00C40F76">
      <w:pPr>
        <w:spacing w:after="0" w:line="240" w:lineRule="auto"/>
        <w:rPr>
          <w:rFonts w:cstheme="minorHAnsi"/>
        </w:rPr>
      </w:pPr>
    </w:p>
    <w:sectPr w:rsidR="00C40F76" w:rsidRPr="00666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A06C0"/>
    <w:multiLevelType w:val="hybridMultilevel"/>
    <w:tmpl w:val="D44E3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4708A"/>
    <w:multiLevelType w:val="hybridMultilevel"/>
    <w:tmpl w:val="F4B0A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0132C"/>
    <w:multiLevelType w:val="hybridMultilevel"/>
    <w:tmpl w:val="D9D41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345118">
    <w:abstractNumId w:val="0"/>
  </w:num>
  <w:num w:numId="2" w16cid:durableId="1656835987">
    <w:abstractNumId w:val="1"/>
  </w:num>
  <w:num w:numId="3" w16cid:durableId="1323654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489"/>
    <w:rsid w:val="00050C37"/>
    <w:rsid w:val="00092B99"/>
    <w:rsid w:val="00181313"/>
    <w:rsid w:val="00405708"/>
    <w:rsid w:val="004E64D5"/>
    <w:rsid w:val="0066693F"/>
    <w:rsid w:val="00705489"/>
    <w:rsid w:val="009B2F62"/>
    <w:rsid w:val="00B350A6"/>
    <w:rsid w:val="00C37F66"/>
    <w:rsid w:val="00C40F76"/>
    <w:rsid w:val="00E6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4F68"/>
  <w15:chartTrackingRefBased/>
  <w15:docId w15:val="{155A43ED-F1F3-49E4-B369-4F307C43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0F76"/>
    <w:pPr>
      <w:spacing w:after="240" w:line="300" w:lineRule="auto"/>
      <w:ind w:left="720"/>
      <w:contextualSpacing/>
    </w:pPr>
    <w:rPr>
      <w:rFonts w:eastAsia="Times New Roman" w:cs="Times New Roman"/>
      <w:kern w:val="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Kropornicki Kamil</dc:creator>
  <cp:keywords/>
  <dc:description/>
  <cp:lastModifiedBy>Kropornicki Kamil</cp:lastModifiedBy>
  <cp:revision>7</cp:revision>
  <cp:lastPrinted>2024-12-10T08:26:00Z</cp:lastPrinted>
  <dcterms:created xsi:type="dcterms:W3CDTF">2024-12-09T13:47:00Z</dcterms:created>
  <dcterms:modified xsi:type="dcterms:W3CDTF">2024-12-10T09:17:00Z</dcterms:modified>
</cp:coreProperties>
</file>